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9F7" w:rsidRDefault="00A919F7" w:rsidP="00FD77CF">
      <w:pPr>
        <w:rPr>
          <w:rFonts w:ascii="Arial" w:hAnsi="Arial" w:cs="Arial"/>
          <w:b/>
          <w:sz w:val="24"/>
          <w:szCs w:val="24"/>
          <w:u w:val="single"/>
          <w:lang w:val="en-IN"/>
        </w:rPr>
      </w:pPr>
      <w:r>
        <w:rPr>
          <w:rFonts w:ascii="Arial" w:hAnsi="Arial" w:cs="Arial"/>
          <w:b/>
          <w:sz w:val="24"/>
          <w:szCs w:val="24"/>
          <w:u w:val="single"/>
          <w:lang w:val="en-IN"/>
        </w:rPr>
        <w:t>“</w:t>
      </w:r>
      <w:r w:rsidR="00FD77CF">
        <w:rPr>
          <w:rFonts w:ascii="Arial" w:hAnsi="Arial" w:cs="Arial"/>
          <w:b/>
          <w:sz w:val="24"/>
          <w:szCs w:val="24"/>
          <w:u w:val="single"/>
          <w:lang w:val="en-IN"/>
        </w:rPr>
        <w:t>Experts</w:t>
      </w:r>
      <w:r>
        <w:rPr>
          <w:rFonts w:ascii="Arial" w:hAnsi="Arial" w:cs="Arial"/>
          <w:b/>
          <w:sz w:val="24"/>
          <w:szCs w:val="24"/>
          <w:u w:val="single"/>
          <w:lang w:val="en-IN"/>
        </w:rPr>
        <w:t>” under CA 2013</w:t>
      </w:r>
      <w:r w:rsidR="00A20AC5">
        <w:rPr>
          <w:rFonts w:ascii="Arial" w:hAnsi="Arial" w:cs="Arial"/>
          <w:b/>
          <w:sz w:val="24"/>
          <w:szCs w:val="24"/>
          <w:u w:val="single"/>
          <w:lang w:val="en-IN"/>
        </w:rPr>
        <w:t xml:space="preserve"> </w:t>
      </w:r>
    </w:p>
    <w:p w:rsidR="005F3BFE" w:rsidRPr="0096250E" w:rsidRDefault="00FD77CF" w:rsidP="00FD77CF">
      <w:pPr>
        <w:rPr>
          <w:rFonts w:ascii="Arial" w:hAnsi="Arial" w:cs="Arial"/>
          <w:b/>
          <w:sz w:val="24"/>
          <w:szCs w:val="24"/>
          <w:u w:val="single"/>
          <w:lang w:val="en-IN"/>
        </w:rPr>
      </w:pPr>
      <w:r>
        <w:rPr>
          <w:rFonts w:ascii="Arial" w:hAnsi="Arial" w:cs="Arial"/>
          <w:b/>
          <w:sz w:val="24"/>
          <w:szCs w:val="24"/>
          <w:u w:val="single"/>
          <w:lang w:val="en-IN"/>
        </w:rPr>
        <w:t xml:space="preserve"> </w:t>
      </w:r>
      <w:r w:rsidR="00A20AC5">
        <w:rPr>
          <w:rFonts w:ascii="Arial" w:hAnsi="Arial" w:cs="Arial"/>
          <w:b/>
          <w:sz w:val="24"/>
          <w:szCs w:val="24"/>
          <w:u w:val="single"/>
          <w:lang w:val="en-IN"/>
        </w:rPr>
        <w:t xml:space="preserve">Company Secretaries </w:t>
      </w:r>
      <w:r w:rsidR="00204DAC">
        <w:rPr>
          <w:rFonts w:ascii="Arial" w:hAnsi="Arial" w:cs="Arial"/>
          <w:b/>
          <w:sz w:val="24"/>
          <w:szCs w:val="24"/>
          <w:u w:val="single"/>
          <w:lang w:val="en-IN"/>
        </w:rPr>
        <w:t xml:space="preserve"> </w:t>
      </w:r>
    </w:p>
    <w:p w:rsidR="00403938" w:rsidRDefault="00204DAC" w:rsidP="0096250E">
      <w:pPr>
        <w:jc w:val="both"/>
        <w:rPr>
          <w:rFonts w:ascii="Arial" w:hAnsi="Arial" w:cs="Arial"/>
          <w:sz w:val="24"/>
          <w:szCs w:val="24"/>
          <w:lang w:val="en-IN"/>
        </w:rPr>
      </w:pPr>
      <w:r>
        <w:rPr>
          <w:rFonts w:ascii="Arial" w:hAnsi="Arial" w:cs="Arial"/>
          <w:sz w:val="24"/>
          <w:szCs w:val="24"/>
          <w:lang w:val="en-IN"/>
        </w:rPr>
        <w:t xml:space="preserve">With the commencement of the Companies Act 2013 </w:t>
      </w:r>
      <w:r w:rsidRPr="0096250E">
        <w:rPr>
          <w:rFonts w:ascii="Arial" w:hAnsi="Arial" w:cs="Arial"/>
          <w:sz w:val="24"/>
          <w:szCs w:val="24"/>
          <w:lang w:val="en-IN"/>
        </w:rPr>
        <w:t>(</w:t>
      </w:r>
      <w:r w:rsidRPr="0096250E">
        <w:rPr>
          <w:rFonts w:ascii="Arial" w:hAnsi="Arial" w:cs="Arial"/>
          <w:b/>
          <w:sz w:val="24"/>
          <w:szCs w:val="24"/>
          <w:lang w:val="en-IN"/>
        </w:rPr>
        <w:t>“</w:t>
      </w:r>
      <w:r>
        <w:rPr>
          <w:rFonts w:ascii="Arial" w:hAnsi="Arial" w:cs="Arial"/>
          <w:b/>
          <w:sz w:val="24"/>
          <w:szCs w:val="24"/>
          <w:lang w:val="en-IN"/>
        </w:rPr>
        <w:t>Act</w:t>
      </w:r>
      <w:r w:rsidRPr="0096250E">
        <w:rPr>
          <w:rFonts w:ascii="Arial" w:hAnsi="Arial" w:cs="Arial"/>
          <w:b/>
          <w:sz w:val="24"/>
          <w:szCs w:val="24"/>
          <w:lang w:val="en-IN"/>
        </w:rPr>
        <w:t>”</w:t>
      </w:r>
      <w:r w:rsidRPr="0096250E">
        <w:rPr>
          <w:rFonts w:ascii="Arial" w:hAnsi="Arial" w:cs="Arial"/>
          <w:sz w:val="24"/>
          <w:szCs w:val="24"/>
          <w:lang w:val="en-IN"/>
        </w:rPr>
        <w:t>)</w:t>
      </w:r>
      <w:r w:rsidR="00A919F7">
        <w:rPr>
          <w:rFonts w:ascii="Arial" w:hAnsi="Arial" w:cs="Arial"/>
          <w:sz w:val="24"/>
          <w:szCs w:val="24"/>
          <w:lang w:val="en-IN"/>
        </w:rPr>
        <w:t xml:space="preserve"> and DLF matters have raised many questions on the definition and liabilities of “Experts”. </w:t>
      </w:r>
      <w:r w:rsidR="00403656">
        <w:rPr>
          <w:rFonts w:ascii="Arial" w:hAnsi="Arial" w:cs="Arial"/>
          <w:sz w:val="24"/>
          <w:szCs w:val="24"/>
          <w:lang w:val="en-IN"/>
        </w:rPr>
        <w:t xml:space="preserve"> While dealing with the legal provisions, I see transparency and accountability </w:t>
      </w:r>
      <w:r w:rsidR="00A20AC5">
        <w:rPr>
          <w:rFonts w:ascii="Arial" w:hAnsi="Arial" w:cs="Arial"/>
          <w:sz w:val="24"/>
          <w:szCs w:val="24"/>
          <w:lang w:val="en-IN"/>
        </w:rPr>
        <w:t xml:space="preserve">going hand-in-hand.  While </w:t>
      </w:r>
      <w:r>
        <w:rPr>
          <w:rFonts w:ascii="Arial" w:hAnsi="Arial" w:cs="Arial"/>
          <w:sz w:val="24"/>
          <w:szCs w:val="24"/>
          <w:lang w:val="en-IN"/>
        </w:rPr>
        <w:t>a new era of possibilities has begun for Company Secretaries in practice</w:t>
      </w:r>
      <w:r w:rsidR="005D55E5">
        <w:rPr>
          <w:rStyle w:val="FootnoteReference"/>
          <w:rFonts w:ascii="Arial" w:hAnsi="Arial" w:cs="Arial"/>
          <w:sz w:val="24"/>
          <w:szCs w:val="24"/>
          <w:lang w:val="en-IN"/>
        </w:rPr>
        <w:footnoteReference w:id="2"/>
      </w:r>
      <w:r w:rsidR="005D55E5">
        <w:rPr>
          <w:rFonts w:ascii="Arial" w:hAnsi="Arial" w:cs="Arial"/>
          <w:sz w:val="24"/>
          <w:szCs w:val="24"/>
          <w:lang w:val="en-IN"/>
        </w:rPr>
        <w:t xml:space="preserve"> and employment</w:t>
      </w:r>
      <w:r w:rsidR="005D55E5">
        <w:rPr>
          <w:rStyle w:val="FootnoteReference"/>
          <w:rFonts w:ascii="Arial" w:hAnsi="Arial" w:cs="Arial"/>
          <w:sz w:val="24"/>
          <w:szCs w:val="24"/>
          <w:lang w:val="en-IN"/>
        </w:rPr>
        <w:footnoteReference w:id="3"/>
      </w:r>
      <w:r w:rsidR="00A20AC5">
        <w:rPr>
          <w:rFonts w:ascii="Arial" w:hAnsi="Arial" w:cs="Arial"/>
          <w:sz w:val="24"/>
          <w:szCs w:val="24"/>
          <w:lang w:val="en-IN"/>
        </w:rPr>
        <w:t xml:space="preserve"> </w:t>
      </w:r>
      <w:r w:rsidR="00403938">
        <w:rPr>
          <w:rFonts w:ascii="Arial" w:hAnsi="Arial" w:cs="Arial"/>
          <w:sz w:val="24"/>
          <w:szCs w:val="24"/>
          <w:lang w:val="en-IN"/>
        </w:rPr>
        <w:t xml:space="preserve">from increasing their professional potential, with Indian businesses at inflexion point, the speed of growth may give way to quality of inputs. In first blog of the series on “Experts”, I propose to share my thoughts on what </w:t>
      </w:r>
      <w:r w:rsidR="009032D0">
        <w:rPr>
          <w:rFonts w:ascii="Arial" w:hAnsi="Arial" w:cs="Arial"/>
          <w:sz w:val="24"/>
          <w:szCs w:val="24"/>
          <w:lang w:val="en-IN"/>
        </w:rPr>
        <w:t xml:space="preserve">it entails </w:t>
      </w:r>
      <w:r w:rsidR="00160CCD">
        <w:rPr>
          <w:rFonts w:ascii="Arial" w:hAnsi="Arial" w:cs="Arial"/>
          <w:sz w:val="24"/>
          <w:szCs w:val="24"/>
          <w:lang w:val="en-IN"/>
        </w:rPr>
        <w:t xml:space="preserve">to be a Company Secretary today. </w:t>
      </w:r>
    </w:p>
    <w:p w:rsidR="00204DAC" w:rsidRDefault="005D55E5" w:rsidP="00204DAC">
      <w:pPr>
        <w:jc w:val="both"/>
        <w:rPr>
          <w:rFonts w:ascii="Arial" w:hAnsi="Arial" w:cs="Arial"/>
          <w:sz w:val="24"/>
          <w:szCs w:val="24"/>
          <w:lang w:val="en-IN"/>
        </w:rPr>
      </w:pPr>
      <w:r>
        <w:rPr>
          <w:rFonts w:ascii="Arial" w:hAnsi="Arial" w:cs="Arial"/>
          <w:sz w:val="24"/>
          <w:szCs w:val="24"/>
          <w:lang w:val="en-IN"/>
        </w:rPr>
        <w:t>Company Secretaries are now considered as</w:t>
      </w:r>
      <w:r w:rsidR="00204DAC">
        <w:rPr>
          <w:rFonts w:ascii="Arial" w:hAnsi="Arial" w:cs="Arial"/>
          <w:sz w:val="24"/>
          <w:szCs w:val="24"/>
          <w:lang w:val="en-IN"/>
        </w:rPr>
        <w:t xml:space="preserve"> “expert</w:t>
      </w:r>
      <w:r>
        <w:rPr>
          <w:rFonts w:ascii="Arial" w:hAnsi="Arial" w:cs="Arial"/>
          <w:sz w:val="24"/>
          <w:szCs w:val="24"/>
          <w:lang w:val="en-IN"/>
        </w:rPr>
        <w:t>s”</w:t>
      </w:r>
      <w:r>
        <w:rPr>
          <w:rStyle w:val="FootnoteReference"/>
          <w:rFonts w:ascii="Arial" w:hAnsi="Arial" w:cs="Arial"/>
          <w:sz w:val="24"/>
          <w:szCs w:val="24"/>
          <w:lang w:val="en-IN"/>
        </w:rPr>
        <w:footnoteReference w:id="4"/>
      </w:r>
      <w:r>
        <w:rPr>
          <w:rFonts w:ascii="Arial" w:hAnsi="Arial" w:cs="Arial"/>
          <w:sz w:val="24"/>
          <w:szCs w:val="24"/>
          <w:lang w:val="en-IN"/>
        </w:rPr>
        <w:t xml:space="preserve"> and also fall under the ambit of “Key Managerial Personnel”</w:t>
      </w:r>
      <w:r w:rsidR="00044A74">
        <w:rPr>
          <w:rStyle w:val="FootnoteReference"/>
          <w:rFonts w:ascii="Arial" w:hAnsi="Arial" w:cs="Arial"/>
          <w:sz w:val="24"/>
          <w:szCs w:val="24"/>
          <w:lang w:val="en-IN"/>
        </w:rPr>
        <w:footnoteReference w:id="5"/>
      </w:r>
      <w:r>
        <w:rPr>
          <w:rFonts w:ascii="Arial" w:hAnsi="Arial" w:cs="Arial"/>
          <w:sz w:val="24"/>
          <w:szCs w:val="24"/>
          <w:lang w:val="en-IN"/>
        </w:rPr>
        <w:t xml:space="preserve"> </w:t>
      </w:r>
    </w:p>
    <w:p w:rsidR="00204DAC" w:rsidRDefault="00204DAC" w:rsidP="00204DAC">
      <w:pPr>
        <w:jc w:val="both"/>
        <w:rPr>
          <w:rFonts w:ascii="Arial" w:hAnsi="Arial" w:cs="Arial"/>
          <w:sz w:val="24"/>
          <w:szCs w:val="24"/>
        </w:rPr>
      </w:pPr>
      <w:r>
        <w:rPr>
          <w:rFonts w:ascii="Arial" w:hAnsi="Arial" w:cs="Arial"/>
          <w:sz w:val="24"/>
          <w:szCs w:val="24"/>
          <w:lang w:val="en-IN"/>
        </w:rPr>
        <w:t xml:space="preserve">An </w:t>
      </w:r>
      <w:r w:rsidRPr="00204DAC">
        <w:rPr>
          <w:rFonts w:ascii="Arial" w:hAnsi="Arial" w:cs="Arial"/>
          <w:sz w:val="24"/>
          <w:szCs w:val="24"/>
        </w:rPr>
        <w:t xml:space="preserve">“expert” includes an engineer, a valuer, a chartered accountant, </w:t>
      </w:r>
      <w:r w:rsidRPr="00204DAC">
        <w:rPr>
          <w:rFonts w:ascii="Arial" w:hAnsi="Arial" w:cs="Arial"/>
          <w:sz w:val="24"/>
          <w:szCs w:val="24"/>
          <w:u w:val="single"/>
        </w:rPr>
        <w:t>a company</w:t>
      </w:r>
      <w:r w:rsidRPr="00204DAC">
        <w:rPr>
          <w:rFonts w:ascii="Arial" w:hAnsi="Arial" w:cs="Arial"/>
          <w:sz w:val="24"/>
          <w:szCs w:val="24"/>
          <w:u w:val="single"/>
          <w:lang w:val="en-IN"/>
        </w:rPr>
        <w:t xml:space="preserve"> </w:t>
      </w:r>
      <w:r w:rsidRPr="00204DAC">
        <w:rPr>
          <w:rFonts w:ascii="Arial" w:hAnsi="Arial" w:cs="Arial"/>
          <w:sz w:val="24"/>
          <w:szCs w:val="24"/>
          <w:u w:val="single"/>
        </w:rPr>
        <w:t>secretary</w:t>
      </w:r>
      <w:r w:rsidRPr="00204DAC">
        <w:rPr>
          <w:rFonts w:ascii="Arial" w:hAnsi="Arial" w:cs="Arial"/>
          <w:sz w:val="24"/>
          <w:szCs w:val="24"/>
        </w:rPr>
        <w:t xml:space="preserve">, a cost accountant and any other person who has the </w:t>
      </w:r>
      <w:r w:rsidRPr="00204DAC">
        <w:rPr>
          <w:rFonts w:ascii="Arial" w:hAnsi="Arial" w:cs="Arial"/>
          <w:sz w:val="24"/>
          <w:szCs w:val="24"/>
          <w:u w:val="single"/>
        </w:rPr>
        <w:t>power or authority to</w:t>
      </w:r>
      <w:r w:rsidRPr="00204DAC">
        <w:rPr>
          <w:rFonts w:ascii="Arial" w:hAnsi="Arial" w:cs="Arial"/>
          <w:sz w:val="24"/>
          <w:szCs w:val="24"/>
          <w:u w:val="single"/>
          <w:lang w:val="en-IN"/>
        </w:rPr>
        <w:t xml:space="preserve"> </w:t>
      </w:r>
      <w:r w:rsidRPr="00204DAC">
        <w:rPr>
          <w:rFonts w:ascii="Arial" w:hAnsi="Arial" w:cs="Arial"/>
          <w:sz w:val="24"/>
          <w:szCs w:val="24"/>
          <w:u w:val="single"/>
        </w:rPr>
        <w:t>issue a certificate</w:t>
      </w:r>
      <w:r w:rsidRPr="00204DAC">
        <w:rPr>
          <w:rFonts w:ascii="Arial" w:hAnsi="Arial" w:cs="Arial"/>
          <w:sz w:val="24"/>
          <w:szCs w:val="24"/>
        </w:rPr>
        <w:t xml:space="preserve"> in pursuance of any </w:t>
      </w:r>
      <w:r>
        <w:rPr>
          <w:rFonts w:ascii="Arial" w:hAnsi="Arial" w:cs="Arial"/>
          <w:sz w:val="24"/>
          <w:szCs w:val="24"/>
        </w:rPr>
        <w:t>law for the time being in force.</w:t>
      </w:r>
    </w:p>
    <w:p w:rsidR="00204DAC" w:rsidRDefault="00204DAC" w:rsidP="00204DAC">
      <w:pPr>
        <w:jc w:val="both"/>
        <w:rPr>
          <w:rFonts w:ascii="Arial" w:hAnsi="Arial" w:cs="Arial"/>
          <w:bCs/>
          <w:sz w:val="24"/>
          <w:szCs w:val="24"/>
        </w:rPr>
      </w:pPr>
      <w:r>
        <w:rPr>
          <w:rFonts w:ascii="Arial" w:hAnsi="Arial" w:cs="Arial"/>
          <w:sz w:val="24"/>
          <w:szCs w:val="24"/>
        </w:rPr>
        <w:t>This certificate is a</w:t>
      </w:r>
      <w:r w:rsidRPr="00204DAC">
        <w:rPr>
          <w:rFonts w:ascii="Arial" w:hAnsi="Arial" w:cs="Arial"/>
          <w:sz w:val="24"/>
          <w:szCs w:val="24"/>
        </w:rPr>
        <w:t xml:space="preserve">s per Rule 11(2) of the Companies (Management and Administration) Rules 2014, </w:t>
      </w:r>
      <w:r>
        <w:rPr>
          <w:rFonts w:ascii="Arial" w:hAnsi="Arial" w:cs="Arial"/>
          <w:sz w:val="24"/>
          <w:szCs w:val="24"/>
        </w:rPr>
        <w:t xml:space="preserve">which states that </w:t>
      </w:r>
      <w:r w:rsidRPr="00204DAC">
        <w:rPr>
          <w:rFonts w:ascii="Arial" w:hAnsi="Arial" w:cs="Arial"/>
          <w:sz w:val="24"/>
          <w:szCs w:val="24"/>
        </w:rPr>
        <w:t xml:space="preserve">the annual return filed by a listed company or a company having paid-up share capital of </w:t>
      </w:r>
      <w:r>
        <w:rPr>
          <w:rFonts w:ascii="Arial" w:hAnsi="Arial" w:cs="Arial"/>
          <w:sz w:val="24"/>
          <w:szCs w:val="24"/>
        </w:rPr>
        <w:t>10</w:t>
      </w:r>
      <w:r w:rsidRPr="00204DAC">
        <w:rPr>
          <w:rFonts w:ascii="Arial" w:hAnsi="Arial" w:cs="Arial"/>
          <w:sz w:val="24"/>
          <w:szCs w:val="24"/>
        </w:rPr>
        <w:t xml:space="preserve"> crore rupees or more or turnover of </w:t>
      </w:r>
      <w:r>
        <w:rPr>
          <w:rFonts w:ascii="Arial" w:hAnsi="Arial" w:cs="Arial"/>
          <w:sz w:val="24"/>
          <w:szCs w:val="24"/>
        </w:rPr>
        <w:t>50</w:t>
      </w:r>
      <w:r w:rsidRPr="00204DAC">
        <w:rPr>
          <w:rFonts w:ascii="Arial" w:hAnsi="Arial" w:cs="Arial"/>
          <w:sz w:val="24"/>
          <w:szCs w:val="24"/>
        </w:rPr>
        <w:t xml:space="preserve"> crore rupees or more, shall be certified by a Company Secretary in practice and the certificate shall be in </w:t>
      </w:r>
      <w:r w:rsidRPr="00204DAC">
        <w:rPr>
          <w:rFonts w:ascii="Arial" w:hAnsi="Arial" w:cs="Arial"/>
          <w:b/>
          <w:bCs/>
          <w:sz w:val="24"/>
          <w:szCs w:val="24"/>
        </w:rPr>
        <w:t>Form No. MGT.8.</w:t>
      </w:r>
      <w:r w:rsidRPr="00204DAC">
        <w:rPr>
          <w:rFonts w:ascii="Arial" w:hAnsi="Arial" w:cs="Arial"/>
          <w:bCs/>
          <w:sz w:val="24"/>
          <w:szCs w:val="24"/>
        </w:rPr>
        <w:t xml:space="preserve"> </w:t>
      </w:r>
    </w:p>
    <w:p w:rsidR="00204DAC" w:rsidRDefault="00204DAC" w:rsidP="00204DAC">
      <w:pPr>
        <w:jc w:val="both"/>
        <w:rPr>
          <w:rFonts w:ascii="Arial" w:hAnsi="Arial" w:cs="Arial"/>
          <w:bCs/>
          <w:sz w:val="24"/>
          <w:szCs w:val="24"/>
        </w:rPr>
      </w:pPr>
      <w:r>
        <w:rPr>
          <w:rFonts w:ascii="Arial" w:hAnsi="Arial" w:cs="Arial"/>
          <w:bCs/>
          <w:sz w:val="24"/>
          <w:szCs w:val="24"/>
        </w:rPr>
        <w:t xml:space="preserve">This certification is </w:t>
      </w:r>
      <w:r w:rsidR="007F68EC">
        <w:rPr>
          <w:rFonts w:ascii="Arial" w:hAnsi="Arial" w:cs="Arial"/>
          <w:bCs/>
          <w:sz w:val="24"/>
          <w:szCs w:val="24"/>
        </w:rPr>
        <w:t>exhaustive</w:t>
      </w:r>
      <w:r>
        <w:rPr>
          <w:rFonts w:ascii="Arial" w:hAnsi="Arial" w:cs="Arial"/>
          <w:bCs/>
          <w:sz w:val="24"/>
          <w:szCs w:val="24"/>
        </w:rPr>
        <w:t xml:space="preserve"> in nature as it includes:</w:t>
      </w:r>
    </w:p>
    <w:p w:rsidR="007F68EC" w:rsidRDefault="00204DAC" w:rsidP="00204DAC">
      <w:pPr>
        <w:numPr>
          <w:ilvl w:val="0"/>
          <w:numId w:val="5"/>
        </w:numPr>
        <w:jc w:val="both"/>
        <w:rPr>
          <w:rFonts w:ascii="Arial" w:hAnsi="Arial" w:cs="Arial"/>
          <w:bCs/>
          <w:sz w:val="24"/>
          <w:szCs w:val="24"/>
        </w:rPr>
      </w:pPr>
      <w:r>
        <w:rPr>
          <w:rFonts w:ascii="Arial" w:hAnsi="Arial" w:cs="Arial"/>
          <w:bCs/>
          <w:sz w:val="24"/>
          <w:szCs w:val="24"/>
        </w:rPr>
        <w:t>Maintenance of statutory registers and records</w:t>
      </w:r>
    </w:p>
    <w:p w:rsidR="007F68EC" w:rsidRDefault="007F68EC" w:rsidP="00204DAC">
      <w:pPr>
        <w:numPr>
          <w:ilvl w:val="0"/>
          <w:numId w:val="5"/>
        </w:numPr>
        <w:jc w:val="both"/>
        <w:rPr>
          <w:rFonts w:ascii="Arial" w:hAnsi="Arial" w:cs="Arial"/>
          <w:bCs/>
          <w:sz w:val="24"/>
          <w:szCs w:val="24"/>
        </w:rPr>
      </w:pPr>
      <w:r>
        <w:rPr>
          <w:rFonts w:ascii="Arial" w:hAnsi="Arial" w:cs="Arial"/>
          <w:bCs/>
          <w:sz w:val="24"/>
          <w:szCs w:val="24"/>
        </w:rPr>
        <w:t>T</w:t>
      </w:r>
      <w:r w:rsidR="00204DAC">
        <w:rPr>
          <w:rFonts w:ascii="Arial" w:hAnsi="Arial" w:cs="Arial"/>
          <w:bCs/>
          <w:sz w:val="24"/>
          <w:szCs w:val="24"/>
        </w:rPr>
        <w:t>imely filing of forms and returns with statutory authorities</w:t>
      </w:r>
    </w:p>
    <w:p w:rsidR="007F68EC" w:rsidRDefault="007F68EC" w:rsidP="00204DAC">
      <w:pPr>
        <w:numPr>
          <w:ilvl w:val="0"/>
          <w:numId w:val="5"/>
        </w:numPr>
        <w:jc w:val="both"/>
        <w:rPr>
          <w:rFonts w:ascii="Arial" w:hAnsi="Arial" w:cs="Arial"/>
          <w:bCs/>
          <w:sz w:val="24"/>
          <w:szCs w:val="24"/>
        </w:rPr>
      </w:pPr>
      <w:r>
        <w:rPr>
          <w:rFonts w:ascii="Arial" w:hAnsi="Arial" w:cs="Arial"/>
          <w:bCs/>
          <w:sz w:val="24"/>
          <w:szCs w:val="24"/>
        </w:rPr>
        <w:t xml:space="preserve"> Timely </w:t>
      </w:r>
      <w:r w:rsidR="00204DAC">
        <w:rPr>
          <w:rFonts w:ascii="Arial" w:hAnsi="Arial" w:cs="Arial"/>
          <w:bCs/>
          <w:sz w:val="24"/>
          <w:szCs w:val="24"/>
        </w:rPr>
        <w:t>convening of the Board</w:t>
      </w:r>
      <w:r>
        <w:rPr>
          <w:rFonts w:ascii="Arial" w:hAnsi="Arial" w:cs="Arial"/>
          <w:bCs/>
          <w:sz w:val="24"/>
          <w:szCs w:val="24"/>
        </w:rPr>
        <w:t>, General and other Committee meetings</w:t>
      </w:r>
    </w:p>
    <w:p w:rsidR="007F68EC" w:rsidRDefault="007F68EC" w:rsidP="00204DAC">
      <w:pPr>
        <w:numPr>
          <w:ilvl w:val="0"/>
          <w:numId w:val="5"/>
        </w:numPr>
        <w:jc w:val="both"/>
        <w:rPr>
          <w:rFonts w:ascii="Arial" w:hAnsi="Arial" w:cs="Arial"/>
          <w:bCs/>
          <w:sz w:val="24"/>
          <w:szCs w:val="24"/>
        </w:rPr>
      </w:pPr>
      <w:r>
        <w:rPr>
          <w:rFonts w:ascii="Arial" w:hAnsi="Arial" w:cs="Arial"/>
          <w:bCs/>
          <w:sz w:val="24"/>
          <w:szCs w:val="24"/>
        </w:rPr>
        <w:t>Related party transactions</w:t>
      </w:r>
    </w:p>
    <w:p w:rsidR="00204DAC" w:rsidRPr="007F68EC" w:rsidRDefault="007F68EC" w:rsidP="00204DAC">
      <w:pPr>
        <w:numPr>
          <w:ilvl w:val="0"/>
          <w:numId w:val="5"/>
        </w:numPr>
        <w:jc w:val="both"/>
        <w:rPr>
          <w:rFonts w:ascii="Arial" w:hAnsi="Arial" w:cs="Arial"/>
          <w:sz w:val="24"/>
          <w:szCs w:val="24"/>
          <w:lang w:val="en-IN"/>
        </w:rPr>
      </w:pPr>
      <w:r w:rsidRPr="007F68EC">
        <w:rPr>
          <w:rFonts w:ascii="Arial" w:hAnsi="Arial" w:cs="Arial"/>
          <w:bCs/>
          <w:sz w:val="24"/>
          <w:szCs w:val="24"/>
        </w:rPr>
        <w:t>A</w:t>
      </w:r>
      <w:r w:rsidR="00204DAC" w:rsidRPr="007F68EC">
        <w:rPr>
          <w:rFonts w:ascii="Arial" w:hAnsi="Arial" w:cs="Arial"/>
          <w:bCs/>
          <w:sz w:val="24"/>
          <w:szCs w:val="24"/>
        </w:rPr>
        <w:t>cceptance of deposits</w:t>
      </w:r>
    </w:p>
    <w:p w:rsidR="007F68EC" w:rsidRPr="007F68EC" w:rsidRDefault="007F68EC" w:rsidP="00204DAC">
      <w:pPr>
        <w:numPr>
          <w:ilvl w:val="0"/>
          <w:numId w:val="5"/>
        </w:numPr>
        <w:jc w:val="both"/>
        <w:rPr>
          <w:rFonts w:ascii="Arial" w:hAnsi="Arial" w:cs="Arial"/>
          <w:sz w:val="24"/>
          <w:szCs w:val="24"/>
          <w:lang w:val="en-IN"/>
        </w:rPr>
      </w:pPr>
      <w:r>
        <w:rPr>
          <w:rFonts w:ascii="Arial" w:hAnsi="Arial" w:cs="Arial"/>
          <w:bCs/>
          <w:sz w:val="24"/>
          <w:szCs w:val="24"/>
        </w:rPr>
        <w:t>Borrowings from members and outsiders</w:t>
      </w:r>
    </w:p>
    <w:p w:rsidR="007F68EC" w:rsidRPr="007F68EC" w:rsidRDefault="007F68EC" w:rsidP="00204DAC">
      <w:pPr>
        <w:numPr>
          <w:ilvl w:val="0"/>
          <w:numId w:val="5"/>
        </w:numPr>
        <w:jc w:val="both"/>
        <w:rPr>
          <w:rFonts w:ascii="Arial" w:hAnsi="Arial" w:cs="Arial"/>
          <w:sz w:val="24"/>
          <w:szCs w:val="24"/>
          <w:lang w:val="en-IN"/>
        </w:rPr>
      </w:pPr>
      <w:r>
        <w:rPr>
          <w:rFonts w:ascii="Arial" w:hAnsi="Arial" w:cs="Arial"/>
          <w:bCs/>
          <w:sz w:val="24"/>
          <w:szCs w:val="24"/>
        </w:rPr>
        <w:t>Loans and investments made by the company</w:t>
      </w:r>
    </w:p>
    <w:p w:rsidR="007F68EC" w:rsidRPr="007F68EC" w:rsidRDefault="007F68EC" w:rsidP="00204DAC">
      <w:pPr>
        <w:numPr>
          <w:ilvl w:val="0"/>
          <w:numId w:val="5"/>
        </w:numPr>
        <w:jc w:val="both"/>
        <w:rPr>
          <w:rFonts w:ascii="Arial" w:hAnsi="Arial" w:cs="Arial"/>
          <w:sz w:val="24"/>
          <w:szCs w:val="24"/>
          <w:lang w:val="en-IN"/>
        </w:rPr>
      </w:pPr>
      <w:r>
        <w:rPr>
          <w:rFonts w:ascii="Arial" w:hAnsi="Arial" w:cs="Arial"/>
          <w:bCs/>
          <w:sz w:val="24"/>
          <w:szCs w:val="24"/>
        </w:rPr>
        <w:lastRenderedPageBreak/>
        <w:t>Loans and advances to directors and others</w:t>
      </w:r>
    </w:p>
    <w:p w:rsidR="007F68EC" w:rsidRDefault="007F68EC" w:rsidP="00204DAC">
      <w:pPr>
        <w:numPr>
          <w:ilvl w:val="0"/>
          <w:numId w:val="5"/>
        </w:numPr>
        <w:jc w:val="both"/>
        <w:rPr>
          <w:rFonts w:ascii="Arial" w:hAnsi="Arial" w:cs="Arial"/>
          <w:sz w:val="24"/>
          <w:szCs w:val="24"/>
          <w:lang w:val="en-IN"/>
        </w:rPr>
      </w:pPr>
      <w:r>
        <w:rPr>
          <w:rFonts w:ascii="Arial" w:hAnsi="Arial" w:cs="Arial"/>
          <w:sz w:val="24"/>
          <w:szCs w:val="24"/>
          <w:lang w:val="en-IN"/>
        </w:rPr>
        <w:t>Share Capital including restructuring</w:t>
      </w:r>
    </w:p>
    <w:p w:rsidR="007F68EC" w:rsidRDefault="007F68EC" w:rsidP="00204DAC">
      <w:pPr>
        <w:numPr>
          <w:ilvl w:val="0"/>
          <w:numId w:val="5"/>
        </w:numPr>
        <w:jc w:val="both"/>
        <w:rPr>
          <w:rFonts w:ascii="Arial" w:hAnsi="Arial" w:cs="Arial"/>
          <w:sz w:val="24"/>
          <w:szCs w:val="24"/>
          <w:lang w:val="en-IN"/>
        </w:rPr>
      </w:pPr>
      <w:r>
        <w:rPr>
          <w:rFonts w:ascii="Arial" w:hAnsi="Arial" w:cs="Arial"/>
          <w:sz w:val="24"/>
          <w:szCs w:val="24"/>
          <w:lang w:val="en-IN"/>
        </w:rPr>
        <w:t>Payment of dividend and transfer of unclaimed dividend</w:t>
      </w:r>
    </w:p>
    <w:p w:rsidR="007F68EC" w:rsidRPr="007F68EC" w:rsidRDefault="007F68EC" w:rsidP="00204DAC">
      <w:pPr>
        <w:numPr>
          <w:ilvl w:val="0"/>
          <w:numId w:val="5"/>
        </w:numPr>
        <w:jc w:val="both"/>
        <w:rPr>
          <w:rFonts w:ascii="Arial" w:hAnsi="Arial" w:cs="Arial"/>
          <w:sz w:val="24"/>
          <w:szCs w:val="24"/>
          <w:lang w:val="en-IN"/>
        </w:rPr>
      </w:pPr>
      <w:r>
        <w:rPr>
          <w:rFonts w:ascii="Arial" w:hAnsi="Arial" w:cs="Arial"/>
          <w:sz w:val="24"/>
          <w:szCs w:val="24"/>
          <w:lang w:val="en-IN"/>
        </w:rPr>
        <w:t>Proper constitution of  Board of Directors and filling of vacancies</w:t>
      </w:r>
    </w:p>
    <w:p w:rsidR="00DB4086" w:rsidRDefault="007F68EC" w:rsidP="00044A74">
      <w:pPr>
        <w:autoSpaceDE w:val="0"/>
        <w:autoSpaceDN w:val="0"/>
        <w:adjustRightInd w:val="0"/>
        <w:spacing w:after="0" w:line="240" w:lineRule="auto"/>
        <w:rPr>
          <w:rFonts w:ascii="Arial" w:hAnsi="Arial" w:cs="Arial"/>
          <w:bCs/>
          <w:sz w:val="24"/>
          <w:szCs w:val="24"/>
        </w:rPr>
      </w:pPr>
      <w:r w:rsidRPr="007F68EC">
        <w:rPr>
          <w:rFonts w:ascii="Arial" w:hAnsi="Arial" w:cs="Arial"/>
          <w:bCs/>
          <w:sz w:val="24"/>
          <w:szCs w:val="24"/>
        </w:rPr>
        <w:t xml:space="preserve">If a </w:t>
      </w:r>
      <w:r>
        <w:rPr>
          <w:rFonts w:ascii="Arial" w:hAnsi="Arial" w:cs="Arial"/>
          <w:bCs/>
          <w:sz w:val="24"/>
          <w:szCs w:val="24"/>
        </w:rPr>
        <w:t>C</w:t>
      </w:r>
      <w:r w:rsidRPr="007F68EC">
        <w:rPr>
          <w:rFonts w:ascii="Arial" w:hAnsi="Arial" w:cs="Arial"/>
          <w:bCs/>
          <w:sz w:val="24"/>
          <w:szCs w:val="24"/>
        </w:rPr>
        <w:t xml:space="preserve">ompany </w:t>
      </w:r>
      <w:r>
        <w:rPr>
          <w:rFonts w:ascii="Arial" w:hAnsi="Arial" w:cs="Arial"/>
          <w:bCs/>
          <w:sz w:val="24"/>
          <w:szCs w:val="24"/>
        </w:rPr>
        <w:t>S</w:t>
      </w:r>
      <w:r w:rsidRPr="007F68EC">
        <w:rPr>
          <w:rFonts w:ascii="Arial" w:hAnsi="Arial" w:cs="Arial"/>
          <w:bCs/>
          <w:sz w:val="24"/>
          <w:szCs w:val="24"/>
        </w:rPr>
        <w:t xml:space="preserve">ecretary in practice certifies </w:t>
      </w:r>
      <w:r>
        <w:rPr>
          <w:rFonts w:ascii="Arial" w:hAnsi="Arial" w:cs="Arial"/>
          <w:bCs/>
          <w:sz w:val="24"/>
          <w:szCs w:val="24"/>
        </w:rPr>
        <w:t>an</w:t>
      </w:r>
      <w:r w:rsidRPr="007F68EC">
        <w:rPr>
          <w:rFonts w:ascii="Arial" w:hAnsi="Arial" w:cs="Arial"/>
          <w:bCs/>
          <w:sz w:val="24"/>
          <w:szCs w:val="24"/>
        </w:rPr>
        <w:t xml:space="preserve"> annual return</w:t>
      </w:r>
      <w:r>
        <w:rPr>
          <w:rFonts w:ascii="Arial" w:hAnsi="Arial" w:cs="Arial"/>
          <w:bCs/>
          <w:sz w:val="24"/>
          <w:szCs w:val="24"/>
        </w:rPr>
        <w:t xml:space="preserve"> fraudulently or incorrectly</w:t>
      </w:r>
      <w:r w:rsidRPr="007F68EC">
        <w:rPr>
          <w:rFonts w:ascii="Arial" w:hAnsi="Arial" w:cs="Arial"/>
          <w:bCs/>
          <w:sz w:val="24"/>
          <w:szCs w:val="24"/>
        </w:rPr>
        <w:t xml:space="preserve">, he </w:t>
      </w:r>
      <w:r>
        <w:rPr>
          <w:rFonts w:ascii="Arial" w:hAnsi="Arial" w:cs="Arial"/>
          <w:bCs/>
          <w:sz w:val="24"/>
          <w:szCs w:val="24"/>
        </w:rPr>
        <w:t>will</w:t>
      </w:r>
      <w:r w:rsidRPr="007F68EC">
        <w:rPr>
          <w:rFonts w:ascii="Arial" w:hAnsi="Arial" w:cs="Arial"/>
          <w:bCs/>
          <w:sz w:val="24"/>
          <w:szCs w:val="24"/>
        </w:rPr>
        <w:t xml:space="preserve"> be</w:t>
      </w:r>
      <w:r>
        <w:rPr>
          <w:rFonts w:ascii="Arial" w:hAnsi="Arial" w:cs="Arial"/>
          <w:bCs/>
          <w:sz w:val="24"/>
          <w:szCs w:val="24"/>
        </w:rPr>
        <w:t xml:space="preserve"> </w:t>
      </w:r>
      <w:r w:rsidRPr="007F68EC">
        <w:rPr>
          <w:rFonts w:ascii="Arial" w:hAnsi="Arial" w:cs="Arial"/>
          <w:bCs/>
          <w:sz w:val="24"/>
          <w:szCs w:val="24"/>
        </w:rPr>
        <w:t xml:space="preserve">punishable with fine which shall not be less than </w:t>
      </w:r>
      <w:r>
        <w:rPr>
          <w:rFonts w:ascii="Arial" w:hAnsi="Arial" w:cs="Arial"/>
          <w:bCs/>
          <w:sz w:val="24"/>
          <w:szCs w:val="24"/>
        </w:rPr>
        <w:t>Rs.50,000</w:t>
      </w:r>
      <w:r w:rsidRPr="007F68EC">
        <w:rPr>
          <w:rFonts w:ascii="Arial" w:hAnsi="Arial" w:cs="Arial"/>
          <w:bCs/>
          <w:sz w:val="24"/>
          <w:szCs w:val="24"/>
        </w:rPr>
        <w:t xml:space="preserve"> but which may</w:t>
      </w:r>
      <w:r>
        <w:rPr>
          <w:rFonts w:ascii="Arial" w:hAnsi="Arial" w:cs="Arial"/>
          <w:bCs/>
          <w:sz w:val="24"/>
          <w:szCs w:val="24"/>
        </w:rPr>
        <w:t xml:space="preserve"> </w:t>
      </w:r>
      <w:r w:rsidRPr="007F68EC">
        <w:rPr>
          <w:rFonts w:ascii="Arial" w:hAnsi="Arial" w:cs="Arial"/>
          <w:bCs/>
          <w:sz w:val="24"/>
          <w:szCs w:val="24"/>
        </w:rPr>
        <w:t xml:space="preserve">extend to </w:t>
      </w:r>
      <w:r>
        <w:rPr>
          <w:rFonts w:ascii="Arial" w:hAnsi="Arial" w:cs="Arial"/>
          <w:bCs/>
          <w:sz w:val="24"/>
          <w:szCs w:val="24"/>
        </w:rPr>
        <w:t>Rs. 5 lakh as per Section 92(6) of the Act.</w:t>
      </w:r>
    </w:p>
    <w:p w:rsidR="00044A74" w:rsidRDefault="00044A74" w:rsidP="00044A74">
      <w:pPr>
        <w:autoSpaceDE w:val="0"/>
        <w:autoSpaceDN w:val="0"/>
        <w:adjustRightInd w:val="0"/>
        <w:spacing w:after="0" w:line="240" w:lineRule="auto"/>
        <w:rPr>
          <w:rFonts w:ascii="Arial" w:hAnsi="Arial" w:cs="Arial"/>
          <w:bCs/>
          <w:sz w:val="24"/>
          <w:szCs w:val="24"/>
        </w:rPr>
      </w:pPr>
    </w:p>
    <w:p w:rsidR="00044A74" w:rsidRDefault="00044A74" w:rsidP="00044A74">
      <w:pPr>
        <w:jc w:val="both"/>
        <w:rPr>
          <w:rFonts w:ascii="Arial" w:hAnsi="Arial" w:cs="Arial"/>
          <w:bCs/>
          <w:sz w:val="24"/>
          <w:szCs w:val="24"/>
        </w:rPr>
      </w:pPr>
      <w:r>
        <w:rPr>
          <w:rFonts w:ascii="Arial" w:hAnsi="Arial" w:cs="Arial"/>
          <w:bCs/>
          <w:sz w:val="24"/>
          <w:szCs w:val="24"/>
        </w:rPr>
        <w:t xml:space="preserve">Another avenue of certification for Practicing Company Secretaries is Secretarial Audit which is applicable to </w:t>
      </w:r>
    </w:p>
    <w:p w:rsidR="00044A74" w:rsidRDefault="00044A74" w:rsidP="00044A74">
      <w:pPr>
        <w:numPr>
          <w:ilvl w:val="0"/>
          <w:numId w:val="6"/>
        </w:numPr>
        <w:jc w:val="both"/>
        <w:rPr>
          <w:rFonts w:ascii="Arial" w:hAnsi="Arial" w:cs="Arial"/>
          <w:bCs/>
          <w:sz w:val="24"/>
          <w:szCs w:val="24"/>
        </w:rPr>
      </w:pPr>
      <w:r>
        <w:rPr>
          <w:rFonts w:ascii="Arial" w:hAnsi="Arial" w:cs="Arial"/>
          <w:bCs/>
          <w:sz w:val="24"/>
          <w:szCs w:val="24"/>
        </w:rPr>
        <w:t>Every Listed Company AND</w:t>
      </w:r>
    </w:p>
    <w:p w:rsidR="00044A74" w:rsidRDefault="00044A74" w:rsidP="00044A74">
      <w:pPr>
        <w:numPr>
          <w:ilvl w:val="0"/>
          <w:numId w:val="6"/>
        </w:numPr>
        <w:jc w:val="both"/>
        <w:rPr>
          <w:rFonts w:ascii="Arial" w:hAnsi="Arial" w:cs="Arial"/>
          <w:bCs/>
          <w:sz w:val="24"/>
          <w:szCs w:val="24"/>
        </w:rPr>
      </w:pPr>
      <w:r>
        <w:rPr>
          <w:rFonts w:ascii="Arial" w:hAnsi="Arial" w:cs="Arial"/>
          <w:bCs/>
          <w:sz w:val="24"/>
          <w:szCs w:val="24"/>
        </w:rPr>
        <w:t>Every public Company having paid of share capital of Rs. 50 crore or more</w:t>
      </w:r>
    </w:p>
    <w:p w:rsidR="00044A74" w:rsidRDefault="00044A74" w:rsidP="00044A74">
      <w:pPr>
        <w:numPr>
          <w:ilvl w:val="0"/>
          <w:numId w:val="6"/>
        </w:numPr>
        <w:jc w:val="both"/>
        <w:rPr>
          <w:rFonts w:ascii="Arial" w:hAnsi="Arial" w:cs="Arial"/>
          <w:bCs/>
          <w:sz w:val="24"/>
          <w:szCs w:val="24"/>
        </w:rPr>
      </w:pPr>
      <w:r>
        <w:rPr>
          <w:rFonts w:ascii="Arial" w:hAnsi="Arial" w:cs="Arial"/>
          <w:bCs/>
          <w:sz w:val="24"/>
          <w:szCs w:val="24"/>
        </w:rPr>
        <w:t>Every public Company having a turnover of Rs. 250 crore or more</w:t>
      </w:r>
    </w:p>
    <w:p w:rsidR="00044A74" w:rsidRDefault="00044A74" w:rsidP="00044A74">
      <w:pPr>
        <w:jc w:val="both"/>
        <w:rPr>
          <w:rFonts w:ascii="Arial" w:hAnsi="Arial" w:cs="Arial"/>
          <w:bCs/>
          <w:sz w:val="24"/>
          <w:szCs w:val="24"/>
          <w:u w:val="single"/>
        </w:rPr>
      </w:pPr>
      <w:r>
        <w:rPr>
          <w:rFonts w:ascii="Arial" w:hAnsi="Arial" w:cs="Arial"/>
          <w:bCs/>
          <w:sz w:val="24"/>
          <w:szCs w:val="24"/>
        </w:rPr>
        <w:t xml:space="preserve">The scope for Secretarial Audit is not limited to the Companies Act 2013, it extends to compliance certification for The Listing Agreement, Secretarial Standards, SEBI regulations and </w:t>
      </w:r>
      <w:r w:rsidRPr="002173E1">
        <w:rPr>
          <w:rFonts w:ascii="Arial" w:hAnsi="Arial" w:cs="Arial"/>
          <w:bCs/>
          <w:sz w:val="24"/>
          <w:szCs w:val="24"/>
          <w:u w:val="single"/>
        </w:rPr>
        <w:t xml:space="preserve">all other laws as may be specifically applicable to the Company. </w:t>
      </w:r>
    </w:p>
    <w:p w:rsidR="00044A74" w:rsidRDefault="00044A74" w:rsidP="00044A74">
      <w:pPr>
        <w:jc w:val="both"/>
        <w:rPr>
          <w:rFonts w:ascii="Arial" w:hAnsi="Arial" w:cs="Arial"/>
          <w:bCs/>
          <w:sz w:val="24"/>
          <w:szCs w:val="24"/>
        </w:rPr>
      </w:pPr>
      <w:r>
        <w:rPr>
          <w:rFonts w:ascii="Arial" w:hAnsi="Arial" w:cs="Arial"/>
          <w:bCs/>
          <w:sz w:val="24"/>
          <w:szCs w:val="24"/>
        </w:rPr>
        <w:t>In case of contravention, the Company, the Company Secretary in practice and every officer of the Company in default shall be punishable with fine which shall not be less than Rs. 1 lakh but which may extend to Rs. 5 lakhs.</w:t>
      </w:r>
    </w:p>
    <w:p w:rsidR="00DB4086" w:rsidRDefault="006C712C" w:rsidP="0096250E">
      <w:pPr>
        <w:jc w:val="both"/>
        <w:rPr>
          <w:rFonts w:ascii="Arial" w:hAnsi="Arial" w:cs="Arial"/>
          <w:bCs/>
          <w:sz w:val="24"/>
          <w:szCs w:val="24"/>
        </w:rPr>
      </w:pPr>
      <w:r>
        <w:rPr>
          <w:rFonts w:ascii="Arial" w:hAnsi="Arial" w:cs="Arial"/>
          <w:bCs/>
          <w:sz w:val="24"/>
          <w:szCs w:val="24"/>
        </w:rPr>
        <w:t xml:space="preserve">Being considered an “expert” </w:t>
      </w:r>
      <w:r w:rsidR="000E56CB">
        <w:rPr>
          <w:rFonts w:ascii="Arial" w:hAnsi="Arial" w:cs="Arial"/>
          <w:bCs/>
          <w:sz w:val="24"/>
          <w:szCs w:val="24"/>
        </w:rPr>
        <w:t xml:space="preserve">comes with its own </w:t>
      </w:r>
      <w:r w:rsidR="00044A74">
        <w:rPr>
          <w:rFonts w:ascii="Arial" w:hAnsi="Arial" w:cs="Arial"/>
          <w:bCs/>
          <w:sz w:val="24"/>
          <w:szCs w:val="24"/>
        </w:rPr>
        <w:t>set of risks</w:t>
      </w:r>
      <w:r w:rsidR="00DB4086">
        <w:rPr>
          <w:rFonts w:ascii="Arial" w:hAnsi="Arial" w:cs="Arial"/>
          <w:bCs/>
          <w:sz w:val="24"/>
          <w:szCs w:val="24"/>
        </w:rPr>
        <w:t>.</w:t>
      </w:r>
    </w:p>
    <w:p w:rsidR="00DB4086" w:rsidRDefault="00044A74" w:rsidP="0096250E">
      <w:pPr>
        <w:jc w:val="both"/>
        <w:rPr>
          <w:rFonts w:ascii="Arial" w:hAnsi="Arial" w:cs="Arial"/>
          <w:bCs/>
          <w:sz w:val="24"/>
          <w:szCs w:val="24"/>
        </w:rPr>
      </w:pPr>
      <w:r>
        <w:rPr>
          <w:rFonts w:ascii="Arial" w:hAnsi="Arial" w:cs="Arial"/>
          <w:bCs/>
          <w:sz w:val="24"/>
          <w:szCs w:val="24"/>
        </w:rPr>
        <w:t>Class Action Suits</w:t>
      </w:r>
      <w:r>
        <w:rPr>
          <w:rStyle w:val="FootnoteReference"/>
          <w:rFonts w:ascii="Arial" w:hAnsi="Arial" w:cs="Arial"/>
          <w:bCs/>
          <w:sz w:val="24"/>
          <w:szCs w:val="24"/>
        </w:rPr>
        <w:footnoteReference w:id="6"/>
      </w:r>
      <w:r>
        <w:rPr>
          <w:rFonts w:ascii="Arial" w:hAnsi="Arial" w:cs="Arial"/>
          <w:bCs/>
          <w:sz w:val="24"/>
          <w:szCs w:val="24"/>
        </w:rPr>
        <w:t xml:space="preserve"> can be initiated by </w:t>
      </w:r>
      <w:r w:rsidR="00DB4086">
        <w:rPr>
          <w:rFonts w:ascii="Arial" w:hAnsi="Arial" w:cs="Arial"/>
          <w:bCs/>
          <w:sz w:val="24"/>
          <w:szCs w:val="24"/>
        </w:rPr>
        <w:t>members and depositors</w:t>
      </w:r>
      <w:r>
        <w:rPr>
          <w:rFonts w:ascii="Arial" w:hAnsi="Arial" w:cs="Arial"/>
          <w:bCs/>
          <w:sz w:val="24"/>
          <w:szCs w:val="24"/>
        </w:rPr>
        <w:t>,</w:t>
      </w:r>
      <w:r w:rsidR="00DB4086">
        <w:rPr>
          <w:rFonts w:ascii="Arial" w:hAnsi="Arial" w:cs="Arial"/>
          <w:bCs/>
          <w:sz w:val="24"/>
          <w:szCs w:val="24"/>
        </w:rPr>
        <w:t xml:space="preserve"> if they are of the opinion that management or conduct </w:t>
      </w:r>
      <w:r w:rsidR="00CF6476">
        <w:rPr>
          <w:rFonts w:ascii="Arial" w:hAnsi="Arial" w:cs="Arial"/>
          <w:bCs/>
          <w:sz w:val="24"/>
          <w:szCs w:val="24"/>
        </w:rPr>
        <w:t>of the affairs of the Company are being conducted in a manner prejudicial to their interest, they are entitled to file an application before the Tribunal and can claim damages or compensation or demand any other suitable action</w:t>
      </w:r>
      <w:r>
        <w:rPr>
          <w:rFonts w:ascii="Arial" w:hAnsi="Arial" w:cs="Arial"/>
          <w:bCs/>
          <w:sz w:val="24"/>
          <w:szCs w:val="24"/>
        </w:rPr>
        <w:t xml:space="preserve"> from any expert or advisor or consultant for providing incorrect or misleading information or any fraudulent conduct.</w:t>
      </w:r>
    </w:p>
    <w:p w:rsidR="00511058" w:rsidRDefault="00511058" w:rsidP="002173E1">
      <w:pPr>
        <w:jc w:val="both"/>
        <w:rPr>
          <w:rFonts w:ascii="Arial" w:hAnsi="Arial" w:cs="Arial"/>
          <w:bCs/>
          <w:sz w:val="24"/>
          <w:szCs w:val="24"/>
        </w:rPr>
      </w:pPr>
      <w:r>
        <w:rPr>
          <w:rFonts w:ascii="Arial" w:hAnsi="Arial" w:cs="Arial"/>
          <w:bCs/>
          <w:sz w:val="24"/>
          <w:szCs w:val="24"/>
        </w:rPr>
        <w:t>There has always been a tendency of Companies to conveniently shift the blame to the “Experts”. Let us take the example of the DLF Case</w:t>
      </w:r>
      <w:r w:rsidR="00044A74">
        <w:rPr>
          <w:rStyle w:val="FootnoteReference"/>
          <w:rFonts w:ascii="Arial" w:hAnsi="Arial" w:cs="Arial"/>
          <w:bCs/>
          <w:sz w:val="24"/>
          <w:szCs w:val="24"/>
        </w:rPr>
        <w:footnoteReference w:id="7"/>
      </w:r>
      <w:r>
        <w:rPr>
          <w:rFonts w:ascii="Arial" w:hAnsi="Arial" w:cs="Arial"/>
          <w:bCs/>
          <w:sz w:val="24"/>
          <w:szCs w:val="24"/>
        </w:rPr>
        <w:t xml:space="preserve"> in which the management was quick to respond by blaming expert advice.</w:t>
      </w:r>
    </w:p>
    <w:p w:rsidR="00511058" w:rsidRDefault="00511058" w:rsidP="00511058">
      <w:pPr>
        <w:jc w:val="both"/>
        <w:rPr>
          <w:rFonts w:ascii="Arial" w:hAnsi="Arial" w:cs="Arial"/>
          <w:bCs/>
          <w:sz w:val="24"/>
          <w:szCs w:val="24"/>
        </w:rPr>
      </w:pPr>
      <w:r>
        <w:rPr>
          <w:rFonts w:ascii="Arial" w:hAnsi="Arial" w:cs="Arial"/>
          <w:bCs/>
          <w:sz w:val="24"/>
          <w:szCs w:val="24"/>
        </w:rPr>
        <w:lastRenderedPageBreak/>
        <w:t>Mr. K.P Singh, DLF Chairman submitted that “</w:t>
      </w:r>
      <w:r w:rsidRPr="00511058">
        <w:rPr>
          <w:rFonts w:ascii="Arial" w:hAnsi="Arial" w:cs="Arial"/>
          <w:bCs/>
          <w:i/>
          <w:sz w:val="24"/>
          <w:szCs w:val="24"/>
        </w:rPr>
        <w:t xml:space="preserve">given the complexity and specialized nature of the process of IPO of DLF and his advanced age of 82 years, he heavily relied on the advice of various </w:t>
      </w:r>
      <w:r w:rsidRPr="00044A74">
        <w:rPr>
          <w:rFonts w:ascii="Arial" w:hAnsi="Arial" w:cs="Arial"/>
          <w:bCs/>
          <w:i/>
          <w:sz w:val="24"/>
          <w:szCs w:val="24"/>
          <w:u w:val="single"/>
        </w:rPr>
        <w:t>experts</w:t>
      </w:r>
      <w:r w:rsidRPr="00511058">
        <w:rPr>
          <w:rFonts w:ascii="Arial" w:hAnsi="Arial" w:cs="Arial"/>
          <w:bCs/>
          <w:i/>
          <w:sz w:val="24"/>
          <w:szCs w:val="24"/>
        </w:rPr>
        <w:t xml:space="preserve"> involved in the process such as Merchant Bankers and acted bona fide on such </w:t>
      </w:r>
      <w:r w:rsidRPr="00044A74">
        <w:rPr>
          <w:rFonts w:ascii="Arial" w:hAnsi="Arial" w:cs="Arial"/>
          <w:bCs/>
          <w:i/>
          <w:sz w:val="24"/>
          <w:szCs w:val="24"/>
          <w:u w:val="single"/>
        </w:rPr>
        <w:t>expert advice</w:t>
      </w:r>
      <w:r w:rsidRPr="00511058">
        <w:rPr>
          <w:rFonts w:ascii="Arial" w:hAnsi="Arial" w:cs="Arial"/>
          <w:bCs/>
          <w:sz w:val="24"/>
          <w:szCs w:val="24"/>
        </w:rPr>
        <w:t>.</w:t>
      </w:r>
      <w:r>
        <w:rPr>
          <w:rFonts w:ascii="Arial" w:hAnsi="Arial" w:cs="Arial"/>
          <w:bCs/>
          <w:sz w:val="24"/>
          <w:szCs w:val="24"/>
        </w:rPr>
        <w:t>”</w:t>
      </w:r>
    </w:p>
    <w:p w:rsidR="00511058" w:rsidRDefault="00511058" w:rsidP="00511058">
      <w:pPr>
        <w:jc w:val="both"/>
        <w:rPr>
          <w:rFonts w:ascii="Arial" w:hAnsi="Arial" w:cs="Arial"/>
          <w:bCs/>
          <w:sz w:val="24"/>
          <w:szCs w:val="24"/>
        </w:rPr>
      </w:pPr>
      <w:r>
        <w:rPr>
          <w:rFonts w:ascii="Arial" w:hAnsi="Arial" w:cs="Arial"/>
          <w:bCs/>
          <w:sz w:val="24"/>
          <w:szCs w:val="24"/>
        </w:rPr>
        <w:t>Mr. Rajiv Singh, DLF Director submitted that “</w:t>
      </w:r>
      <w:r w:rsidRPr="00511058">
        <w:rPr>
          <w:rFonts w:ascii="Arial" w:hAnsi="Arial" w:cs="Arial"/>
          <w:bCs/>
          <w:i/>
          <w:sz w:val="24"/>
          <w:szCs w:val="24"/>
        </w:rPr>
        <w:t xml:space="preserve">while approving the Financial Statements contained in the Offer Document, he was largely guided by </w:t>
      </w:r>
      <w:r w:rsidRPr="00044A74">
        <w:rPr>
          <w:rFonts w:ascii="Arial" w:hAnsi="Arial" w:cs="Arial"/>
          <w:bCs/>
          <w:i/>
          <w:sz w:val="24"/>
          <w:szCs w:val="24"/>
          <w:u w:val="single"/>
        </w:rPr>
        <w:t>expert advice</w:t>
      </w:r>
      <w:r w:rsidRPr="00511058">
        <w:rPr>
          <w:rFonts w:ascii="Arial" w:hAnsi="Arial" w:cs="Arial"/>
          <w:bCs/>
          <w:i/>
          <w:sz w:val="24"/>
          <w:szCs w:val="24"/>
        </w:rPr>
        <w:t xml:space="preserve"> required, and the contents of the Offer Document had been certified to be true, correct and in due compliance with all disclosure requirements by relevant </w:t>
      </w:r>
      <w:r w:rsidRPr="00044A74">
        <w:rPr>
          <w:rFonts w:ascii="Arial" w:hAnsi="Arial" w:cs="Arial"/>
          <w:bCs/>
          <w:i/>
          <w:sz w:val="24"/>
          <w:szCs w:val="24"/>
          <w:u w:val="single"/>
        </w:rPr>
        <w:t>expert advice</w:t>
      </w:r>
      <w:r w:rsidRPr="00511058">
        <w:rPr>
          <w:rFonts w:ascii="Arial" w:hAnsi="Arial" w:cs="Arial"/>
          <w:bCs/>
          <w:sz w:val="24"/>
          <w:szCs w:val="24"/>
        </w:rPr>
        <w:t>.</w:t>
      </w:r>
    </w:p>
    <w:p w:rsidR="00511058" w:rsidRDefault="00511058" w:rsidP="00511058">
      <w:pPr>
        <w:jc w:val="both"/>
        <w:rPr>
          <w:rFonts w:ascii="Arial" w:hAnsi="Arial" w:cs="Arial"/>
          <w:bCs/>
          <w:i/>
          <w:sz w:val="24"/>
          <w:szCs w:val="24"/>
        </w:rPr>
      </w:pPr>
      <w:r>
        <w:rPr>
          <w:rFonts w:ascii="Arial" w:hAnsi="Arial" w:cs="Arial"/>
          <w:bCs/>
          <w:sz w:val="24"/>
          <w:szCs w:val="24"/>
        </w:rPr>
        <w:t xml:space="preserve">Mr. T.C Goyal, DLF Director submitted that </w:t>
      </w:r>
      <w:r w:rsidRPr="00511058">
        <w:rPr>
          <w:rFonts w:ascii="Arial" w:hAnsi="Arial" w:cs="Arial"/>
          <w:bCs/>
          <w:i/>
          <w:sz w:val="24"/>
          <w:szCs w:val="24"/>
        </w:rPr>
        <w:t xml:space="preserve">“he acted in good faith on the basis of </w:t>
      </w:r>
      <w:r w:rsidRPr="00044A74">
        <w:rPr>
          <w:rFonts w:ascii="Arial" w:hAnsi="Arial" w:cs="Arial"/>
          <w:bCs/>
          <w:i/>
          <w:sz w:val="24"/>
          <w:szCs w:val="24"/>
          <w:u w:val="single"/>
        </w:rPr>
        <w:t>expert advice</w:t>
      </w:r>
      <w:r w:rsidRPr="00511058">
        <w:rPr>
          <w:rFonts w:ascii="Arial" w:hAnsi="Arial" w:cs="Arial"/>
          <w:bCs/>
          <w:i/>
          <w:sz w:val="24"/>
          <w:szCs w:val="24"/>
        </w:rPr>
        <w:t xml:space="preserve"> of Merchant Bankers and legal advisors and no mala fide intent can be imputed on him.”</w:t>
      </w:r>
    </w:p>
    <w:p w:rsidR="00595789" w:rsidRDefault="00595789" w:rsidP="00595789">
      <w:pPr>
        <w:jc w:val="both"/>
        <w:rPr>
          <w:rFonts w:ascii="Arial" w:hAnsi="Arial" w:cs="Arial"/>
          <w:bCs/>
          <w:sz w:val="24"/>
          <w:szCs w:val="24"/>
        </w:rPr>
      </w:pPr>
      <w:r w:rsidRPr="00595789">
        <w:rPr>
          <w:rFonts w:ascii="Arial" w:hAnsi="Arial" w:cs="Arial"/>
          <w:bCs/>
          <w:sz w:val="24"/>
          <w:szCs w:val="24"/>
        </w:rPr>
        <w:t>Mr. Ramesh Sanka,</w:t>
      </w:r>
      <w:r>
        <w:rPr>
          <w:rFonts w:ascii="Arial" w:hAnsi="Arial" w:cs="Arial"/>
          <w:bCs/>
          <w:sz w:val="24"/>
          <w:szCs w:val="24"/>
        </w:rPr>
        <w:t xml:space="preserve"> DLF Director submitted that “</w:t>
      </w:r>
      <w:r w:rsidRPr="00595789">
        <w:rPr>
          <w:rFonts w:ascii="Arial" w:hAnsi="Arial" w:cs="Arial"/>
          <w:bCs/>
          <w:i/>
          <w:sz w:val="24"/>
          <w:szCs w:val="24"/>
        </w:rPr>
        <w:t>the statements of the DLF limited were duly reviewed and recommended by the audit committee of DLF prior to being</w:t>
      </w:r>
      <w:r w:rsidRPr="00044A74">
        <w:rPr>
          <w:rFonts w:ascii="Arial" w:hAnsi="Arial" w:cs="Arial"/>
          <w:bCs/>
          <w:i/>
          <w:sz w:val="24"/>
          <w:szCs w:val="24"/>
          <w:u w:val="single"/>
        </w:rPr>
        <w:t xml:space="preserve"> tabled before the Board of Directors after having been audited by its </w:t>
      </w:r>
      <w:r w:rsidRPr="00595789">
        <w:rPr>
          <w:rFonts w:ascii="Arial" w:hAnsi="Arial" w:cs="Arial"/>
          <w:bCs/>
          <w:i/>
          <w:sz w:val="24"/>
          <w:szCs w:val="24"/>
        </w:rPr>
        <w:t xml:space="preserve">Statutory Auditors. DLF had, for the purposes of the IPO, appointed </w:t>
      </w:r>
      <w:r w:rsidRPr="00044A74">
        <w:rPr>
          <w:rFonts w:ascii="Arial" w:hAnsi="Arial" w:cs="Arial"/>
          <w:bCs/>
          <w:i/>
          <w:sz w:val="24"/>
          <w:szCs w:val="24"/>
          <w:u w:val="single"/>
        </w:rPr>
        <w:t>eminent Merchant Bankers, lawyers and other advisors</w:t>
      </w:r>
      <w:r w:rsidRPr="00595789">
        <w:rPr>
          <w:rFonts w:ascii="Arial" w:hAnsi="Arial" w:cs="Arial"/>
          <w:bCs/>
          <w:i/>
          <w:sz w:val="24"/>
          <w:szCs w:val="24"/>
        </w:rPr>
        <w:t xml:space="preserve"> to ensure that detailed due diligence is undertaken with regard to all aspects of the company for the purposes of ensuring due disclosure of information</w:t>
      </w:r>
      <w:r w:rsidRPr="00595789">
        <w:rPr>
          <w:rFonts w:ascii="Arial" w:hAnsi="Arial" w:cs="Arial"/>
          <w:bCs/>
          <w:sz w:val="24"/>
          <w:szCs w:val="24"/>
        </w:rPr>
        <w:t>.</w:t>
      </w:r>
      <w:r>
        <w:rPr>
          <w:rFonts w:ascii="Arial" w:hAnsi="Arial" w:cs="Arial"/>
          <w:bCs/>
          <w:sz w:val="24"/>
          <w:szCs w:val="24"/>
        </w:rPr>
        <w:t>”</w:t>
      </w:r>
    </w:p>
    <w:p w:rsidR="00014FDB" w:rsidRDefault="00014FDB" w:rsidP="00ED7692">
      <w:pPr>
        <w:jc w:val="both"/>
        <w:rPr>
          <w:rFonts w:ascii="Arial" w:hAnsi="Arial" w:cs="Arial"/>
          <w:sz w:val="24"/>
          <w:szCs w:val="24"/>
          <w:lang w:val="en-IN"/>
        </w:rPr>
      </w:pPr>
      <w:r>
        <w:rPr>
          <w:rFonts w:ascii="Arial" w:hAnsi="Arial" w:cs="Arial"/>
          <w:sz w:val="24"/>
          <w:szCs w:val="24"/>
          <w:lang w:val="en-IN"/>
        </w:rPr>
        <w:t>The risk and liability exposure for Company Se</w:t>
      </w:r>
      <w:r w:rsidR="00277078">
        <w:rPr>
          <w:rFonts w:ascii="Arial" w:hAnsi="Arial" w:cs="Arial"/>
          <w:sz w:val="24"/>
          <w:szCs w:val="24"/>
          <w:lang w:val="en-IN"/>
        </w:rPr>
        <w:t>cretaries has increased manifold and it is imperative for transparency and disclosure levels to be stepped up accordingly.</w:t>
      </w:r>
    </w:p>
    <w:p w:rsidR="00044A74" w:rsidRPr="00044A74" w:rsidRDefault="00044A74" w:rsidP="00ED7692">
      <w:pPr>
        <w:jc w:val="both"/>
        <w:rPr>
          <w:rFonts w:ascii="Arial" w:hAnsi="Arial" w:cs="Arial"/>
          <w:bCs/>
          <w:sz w:val="24"/>
          <w:szCs w:val="24"/>
        </w:rPr>
      </w:pPr>
      <w:r>
        <w:rPr>
          <w:rFonts w:ascii="Arial" w:hAnsi="Arial" w:cs="Arial"/>
          <w:bCs/>
          <w:sz w:val="24"/>
          <w:szCs w:val="24"/>
        </w:rPr>
        <w:t>Also, the certifications provided by the PCS in Form MGT-8 and Form MR-3 will be available as public domain information after filing of the same with the MCA. Any discrepancies noticed by competitors can adversely affect the reputation of the PCS in his fraternity and the corporate world at large.</w:t>
      </w:r>
    </w:p>
    <w:p w:rsidR="007806F2" w:rsidRPr="00A2301F" w:rsidRDefault="00E139EC" w:rsidP="0096250E">
      <w:pPr>
        <w:jc w:val="both"/>
        <w:rPr>
          <w:rFonts w:ascii="Arial" w:hAnsi="Arial" w:cs="Arial"/>
          <w:sz w:val="24"/>
          <w:szCs w:val="24"/>
          <w:lang w:val="en-IN"/>
        </w:rPr>
      </w:pPr>
      <w:r w:rsidRPr="0096250E">
        <w:rPr>
          <w:rFonts w:ascii="Arial" w:hAnsi="Arial" w:cs="Arial"/>
          <w:sz w:val="24"/>
          <w:szCs w:val="24"/>
          <w:lang w:val="en-IN"/>
        </w:rPr>
        <w:t xml:space="preserve"> </w:t>
      </w:r>
    </w:p>
    <w:sectPr w:rsidR="007806F2" w:rsidRPr="00A2301F" w:rsidSect="0008076D">
      <w:headerReference w:type="default" r:id="rId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47BB" w:rsidRDefault="00BB47BB" w:rsidP="000F5F04">
      <w:pPr>
        <w:spacing w:after="0" w:line="240" w:lineRule="auto"/>
      </w:pPr>
      <w:r>
        <w:separator/>
      </w:r>
    </w:p>
  </w:endnote>
  <w:endnote w:type="continuationSeparator" w:id="1">
    <w:p w:rsidR="00BB47BB" w:rsidRDefault="00BB47BB" w:rsidP="000F5F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47BB" w:rsidRDefault="00BB47BB" w:rsidP="000F5F04">
      <w:pPr>
        <w:spacing w:after="0" w:line="240" w:lineRule="auto"/>
      </w:pPr>
      <w:r>
        <w:separator/>
      </w:r>
    </w:p>
  </w:footnote>
  <w:footnote w:type="continuationSeparator" w:id="1">
    <w:p w:rsidR="00BB47BB" w:rsidRDefault="00BB47BB" w:rsidP="000F5F04">
      <w:pPr>
        <w:spacing w:after="0" w:line="240" w:lineRule="auto"/>
      </w:pPr>
      <w:r>
        <w:continuationSeparator/>
      </w:r>
    </w:p>
  </w:footnote>
  <w:footnote w:id="2">
    <w:p w:rsidR="005D55E5" w:rsidRPr="005D55E5" w:rsidRDefault="005D55E5" w:rsidP="00044A74">
      <w:pPr>
        <w:pStyle w:val="NoSpacing"/>
        <w:rPr>
          <w:lang w:val="en-IN"/>
        </w:rPr>
      </w:pPr>
      <w:r>
        <w:rPr>
          <w:rStyle w:val="FootnoteReference"/>
        </w:rPr>
        <w:footnoteRef/>
      </w:r>
      <w:r>
        <w:t xml:space="preserve"> </w:t>
      </w:r>
      <w:r>
        <w:rPr>
          <w:lang w:val="en-IN"/>
        </w:rPr>
        <w:t>Section 2(25) of Companies Act 2013</w:t>
      </w:r>
    </w:p>
  </w:footnote>
  <w:footnote w:id="3">
    <w:p w:rsidR="005D55E5" w:rsidRPr="005D55E5" w:rsidRDefault="005D55E5" w:rsidP="00044A74">
      <w:pPr>
        <w:pStyle w:val="NoSpacing"/>
        <w:rPr>
          <w:lang w:val="en-IN"/>
        </w:rPr>
      </w:pPr>
      <w:r>
        <w:rPr>
          <w:rStyle w:val="FootnoteReference"/>
        </w:rPr>
        <w:footnoteRef/>
      </w:r>
      <w:r>
        <w:t xml:space="preserve"> </w:t>
      </w:r>
      <w:r>
        <w:rPr>
          <w:lang w:val="en-IN"/>
        </w:rPr>
        <w:t>Section 2(24) of Companies Act 2013</w:t>
      </w:r>
    </w:p>
  </w:footnote>
  <w:footnote w:id="4">
    <w:p w:rsidR="005D55E5" w:rsidRPr="005D55E5" w:rsidRDefault="005D55E5" w:rsidP="00044A74">
      <w:pPr>
        <w:pStyle w:val="NoSpacing"/>
        <w:rPr>
          <w:lang w:val="en-IN"/>
        </w:rPr>
      </w:pPr>
      <w:r>
        <w:rPr>
          <w:rStyle w:val="FootnoteReference"/>
        </w:rPr>
        <w:footnoteRef/>
      </w:r>
      <w:r>
        <w:t xml:space="preserve"> </w:t>
      </w:r>
      <w:r w:rsidR="00044A74">
        <w:rPr>
          <w:lang w:val="en-IN"/>
        </w:rPr>
        <w:t>Section 2(38) of Companies Act 2013</w:t>
      </w:r>
    </w:p>
  </w:footnote>
  <w:footnote w:id="5">
    <w:p w:rsidR="00044A74" w:rsidRPr="00044A74" w:rsidRDefault="00044A74" w:rsidP="00044A74">
      <w:pPr>
        <w:pStyle w:val="NoSpacing"/>
        <w:rPr>
          <w:lang w:val="en-IN"/>
        </w:rPr>
      </w:pPr>
      <w:r>
        <w:rPr>
          <w:rStyle w:val="FootnoteReference"/>
        </w:rPr>
        <w:footnoteRef/>
      </w:r>
      <w:r>
        <w:t xml:space="preserve"> </w:t>
      </w:r>
      <w:r>
        <w:rPr>
          <w:lang w:val="en-IN"/>
        </w:rPr>
        <w:t>Section 2(51) of Companies Act 2013</w:t>
      </w:r>
    </w:p>
  </w:footnote>
  <w:footnote w:id="6">
    <w:p w:rsidR="00044A74" w:rsidRPr="00044A74" w:rsidRDefault="00044A74" w:rsidP="00044A74">
      <w:pPr>
        <w:pStyle w:val="NoSpacing"/>
        <w:rPr>
          <w:lang w:val="en-IN"/>
        </w:rPr>
      </w:pPr>
      <w:r>
        <w:rPr>
          <w:rStyle w:val="FootnoteReference"/>
        </w:rPr>
        <w:footnoteRef/>
      </w:r>
      <w:r>
        <w:t xml:space="preserve"> </w:t>
      </w:r>
      <w:r>
        <w:rPr>
          <w:lang w:val="en-IN"/>
        </w:rPr>
        <w:t>Section 245(1)(g) of Companies Act 2013</w:t>
      </w:r>
    </w:p>
  </w:footnote>
  <w:footnote w:id="7">
    <w:p w:rsidR="00044A74" w:rsidRPr="00044A74" w:rsidRDefault="00044A74" w:rsidP="00044A74">
      <w:pPr>
        <w:pStyle w:val="NoSpacing"/>
        <w:rPr>
          <w:lang w:val="en-IN"/>
        </w:rPr>
      </w:pPr>
      <w:r>
        <w:rPr>
          <w:rStyle w:val="FootnoteReference"/>
        </w:rPr>
        <w:footnoteRef/>
      </w:r>
      <w:r>
        <w:t xml:space="preserve"> </w:t>
      </w:r>
      <w:r>
        <w:rPr>
          <w:lang w:val="en-IN"/>
        </w:rPr>
        <w:t>SEBI Order No WTM/RKA/IVD-7/117 - 124 /2014 dated 10</w:t>
      </w:r>
      <w:r w:rsidRPr="00044A74">
        <w:rPr>
          <w:vertAlign w:val="superscript"/>
          <w:lang w:val="en-IN"/>
        </w:rPr>
        <w:t>th</w:t>
      </w:r>
      <w:r>
        <w:rPr>
          <w:lang w:val="en-IN"/>
        </w:rPr>
        <w:t xml:space="preserve"> Oct 2014 </w:t>
      </w:r>
      <w:hyperlink r:id="rId1" w:history="1">
        <w:r w:rsidRPr="00644E7D">
          <w:rPr>
            <w:rStyle w:val="Hyperlink"/>
            <w:lang w:val="en-IN"/>
          </w:rPr>
          <w:t>http://www.sebi.gov.in/cms/sebi_data/attachdocs/1413191997529.pdf</w:t>
        </w:r>
      </w:hyperlink>
      <w:r>
        <w:rPr>
          <w:lang w:val="en-IN"/>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8DA" w:rsidRDefault="000368DA">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569345" o:spid="_x0000_s2049" type="#_x0000_t136" style="position:absolute;margin-left:0;margin-top:0;width:565.55pt;height:94.25pt;rotation:315;z-index:-251658752;mso-position-horizontal:center;mso-position-horizontal-relative:margin;mso-position-vertical:center;mso-position-vertical-relative:margin" o:allowincell="f" fillcolor="silver" stroked="f">
          <v:fill opacity=".5"/>
          <v:textpath style="font-family:&quot;Arial&quot;;font-size:1pt" string="Second 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FE36AE"/>
    <w:multiLevelType w:val="multilevel"/>
    <w:tmpl w:val="2BF4BC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29670BDF"/>
    <w:multiLevelType w:val="hybridMultilevel"/>
    <w:tmpl w:val="EA267038"/>
    <w:lvl w:ilvl="0" w:tplc="48DA3D4C">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BA47B8A"/>
    <w:multiLevelType w:val="hybridMultilevel"/>
    <w:tmpl w:val="6D2CA5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5302386"/>
    <w:multiLevelType w:val="hybridMultilevel"/>
    <w:tmpl w:val="12665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485C46"/>
    <w:multiLevelType w:val="hybridMultilevel"/>
    <w:tmpl w:val="873452EC"/>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79200492"/>
    <w:multiLevelType w:val="hybridMultilevel"/>
    <w:tmpl w:val="258A6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165270"/>
    <w:rsid w:val="00014FDB"/>
    <w:rsid w:val="000368DA"/>
    <w:rsid w:val="00044A74"/>
    <w:rsid w:val="0008076D"/>
    <w:rsid w:val="000E56CB"/>
    <w:rsid w:val="000F5F04"/>
    <w:rsid w:val="00137639"/>
    <w:rsid w:val="001415EB"/>
    <w:rsid w:val="00160CCD"/>
    <w:rsid w:val="00165270"/>
    <w:rsid w:val="001660A9"/>
    <w:rsid w:val="00190A8F"/>
    <w:rsid w:val="001C40A4"/>
    <w:rsid w:val="00204DAC"/>
    <w:rsid w:val="002173E1"/>
    <w:rsid w:val="00224E08"/>
    <w:rsid w:val="00267C51"/>
    <w:rsid w:val="00276361"/>
    <w:rsid w:val="00277078"/>
    <w:rsid w:val="002B61A9"/>
    <w:rsid w:val="002F0C96"/>
    <w:rsid w:val="00366C1A"/>
    <w:rsid w:val="003938BF"/>
    <w:rsid w:val="00396BF9"/>
    <w:rsid w:val="00397F6C"/>
    <w:rsid w:val="00403656"/>
    <w:rsid w:val="00403938"/>
    <w:rsid w:val="00491AA4"/>
    <w:rsid w:val="005028E8"/>
    <w:rsid w:val="00503991"/>
    <w:rsid w:val="00511058"/>
    <w:rsid w:val="00564EA4"/>
    <w:rsid w:val="0059025F"/>
    <w:rsid w:val="00595789"/>
    <w:rsid w:val="005D55E5"/>
    <w:rsid w:val="005F3BFE"/>
    <w:rsid w:val="005F62A3"/>
    <w:rsid w:val="00601EA3"/>
    <w:rsid w:val="006A7F69"/>
    <w:rsid w:val="006B6569"/>
    <w:rsid w:val="006C712C"/>
    <w:rsid w:val="007806F2"/>
    <w:rsid w:val="007D48F7"/>
    <w:rsid w:val="007F68EC"/>
    <w:rsid w:val="00807674"/>
    <w:rsid w:val="00822264"/>
    <w:rsid w:val="009032D0"/>
    <w:rsid w:val="0092551F"/>
    <w:rsid w:val="0096250E"/>
    <w:rsid w:val="009830D7"/>
    <w:rsid w:val="009F0A0E"/>
    <w:rsid w:val="00A20AC5"/>
    <w:rsid w:val="00A2301F"/>
    <w:rsid w:val="00A919F7"/>
    <w:rsid w:val="00AF219B"/>
    <w:rsid w:val="00AF5B42"/>
    <w:rsid w:val="00AF605F"/>
    <w:rsid w:val="00AF743B"/>
    <w:rsid w:val="00BA23E9"/>
    <w:rsid w:val="00BB4588"/>
    <w:rsid w:val="00BB47BB"/>
    <w:rsid w:val="00BD7CB9"/>
    <w:rsid w:val="00CB4064"/>
    <w:rsid w:val="00CF6476"/>
    <w:rsid w:val="00D204A8"/>
    <w:rsid w:val="00D60637"/>
    <w:rsid w:val="00D609CA"/>
    <w:rsid w:val="00D676BA"/>
    <w:rsid w:val="00D972B6"/>
    <w:rsid w:val="00DB4086"/>
    <w:rsid w:val="00E0166A"/>
    <w:rsid w:val="00E139EC"/>
    <w:rsid w:val="00E2726D"/>
    <w:rsid w:val="00E53B96"/>
    <w:rsid w:val="00ED7692"/>
    <w:rsid w:val="00EE2082"/>
    <w:rsid w:val="00F927E6"/>
    <w:rsid w:val="00FD77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6F2"/>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7639"/>
    <w:rPr>
      <w:color w:val="0000FF"/>
      <w:u w:val="single"/>
    </w:rPr>
  </w:style>
  <w:style w:type="paragraph" w:styleId="ListParagraph">
    <w:name w:val="List Paragraph"/>
    <w:basedOn w:val="Normal"/>
    <w:uiPriority w:val="34"/>
    <w:qFormat/>
    <w:rsid w:val="00396BF9"/>
    <w:pPr>
      <w:ind w:left="720"/>
      <w:contextualSpacing/>
    </w:pPr>
    <w:rPr>
      <w:lang w:val="en-IN"/>
    </w:rPr>
  </w:style>
  <w:style w:type="character" w:styleId="FollowedHyperlink">
    <w:name w:val="FollowedHyperlink"/>
    <w:basedOn w:val="DefaultParagraphFont"/>
    <w:uiPriority w:val="99"/>
    <w:semiHidden/>
    <w:unhideWhenUsed/>
    <w:rsid w:val="00AF5B42"/>
    <w:rPr>
      <w:color w:val="800080"/>
      <w:u w:val="single"/>
    </w:rPr>
  </w:style>
  <w:style w:type="paragraph" w:styleId="Header">
    <w:name w:val="header"/>
    <w:basedOn w:val="Normal"/>
    <w:link w:val="HeaderChar"/>
    <w:uiPriority w:val="99"/>
    <w:semiHidden/>
    <w:unhideWhenUsed/>
    <w:rsid w:val="000F5F04"/>
    <w:pPr>
      <w:tabs>
        <w:tab w:val="center" w:pos="4680"/>
        <w:tab w:val="right" w:pos="9360"/>
      </w:tabs>
    </w:pPr>
  </w:style>
  <w:style w:type="character" w:customStyle="1" w:styleId="HeaderChar">
    <w:name w:val="Header Char"/>
    <w:basedOn w:val="DefaultParagraphFont"/>
    <w:link w:val="Header"/>
    <w:uiPriority w:val="99"/>
    <w:semiHidden/>
    <w:rsid w:val="000F5F04"/>
    <w:rPr>
      <w:sz w:val="22"/>
      <w:szCs w:val="22"/>
    </w:rPr>
  </w:style>
  <w:style w:type="paragraph" w:styleId="Footer">
    <w:name w:val="footer"/>
    <w:basedOn w:val="Normal"/>
    <w:link w:val="FooterChar"/>
    <w:uiPriority w:val="99"/>
    <w:semiHidden/>
    <w:unhideWhenUsed/>
    <w:rsid w:val="000F5F04"/>
    <w:pPr>
      <w:tabs>
        <w:tab w:val="center" w:pos="4680"/>
        <w:tab w:val="right" w:pos="9360"/>
      </w:tabs>
    </w:pPr>
  </w:style>
  <w:style w:type="character" w:customStyle="1" w:styleId="FooterChar">
    <w:name w:val="Footer Char"/>
    <w:basedOn w:val="DefaultParagraphFont"/>
    <w:link w:val="Footer"/>
    <w:uiPriority w:val="99"/>
    <w:semiHidden/>
    <w:rsid w:val="000F5F04"/>
    <w:rPr>
      <w:sz w:val="22"/>
      <w:szCs w:val="22"/>
    </w:rPr>
  </w:style>
  <w:style w:type="paragraph" w:styleId="EndnoteText">
    <w:name w:val="endnote text"/>
    <w:basedOn w:val="Normal"/>
    <w:link w:val="EndnoteTextChar"/>
    <w:uiPriority w:val="99"/>
    <w:semiHidden/>
    <w:unhideWhenUsed/>
    <w:rsid w:val="005D55E5"/>
    <w:rPr>
      <w:sz w:val="20"/>
      <w:szCs w:val="20"/>
    </w:rPr>
  </w:style>
  <w:style w:type="character" w:customStyle="1" w:styleId="EndnoteTextChar">
    <w:name w:val="Endnote Text Char"/>
    <w:basedOn w:val="DefaultParagraphFont"/>
    <w:link w:val="EndnoteText"/>
    <w:uiPriority w:val="99"/>
    <w:semiHidden/>
    <w:rsid w:val="005D55E5"/>
    <w:rPr>
      <w:lang w:val="en-US" w:eastAsia="en-US"/>
    </w:rPr>
  </w:style>
  <w:style w:type="character" w:styleId="EndnoteReference">
    <w:name w:val="endnote reference"/>
    <w:basedOn w:val="DefaultParagraphFont"/>
    <w:uiPriority w:val="99"/>
    <w:semiHidden/>
    <w:unhideWhenUsed/>
    <w:rsid w:val="005D55E5"/>
    <w:rPr>
      <w:vertAlign w:val="superscript"/>
    </w:rPr>
  </w:style>
  <w:style w:type="paragraph" w:styleId="FootnoteText">
    <w:name w:val="footnote text"/>
    <w:basedOn w:val="Normal"/>
    <w:link w:val="FootnoteTextChar"/>
    <w:uiPriority w:val="99"/>
    <w:semiHidden/>
    <w:unhideWhenUsed/>
    <w:rsid w:val="005D55E5"/>
    <w:rPr>
      <w:sz w:val="20"/>
      <w:szCs w:val="20"/>
    </w:rPr>
  </w:style>
  <w:style w:type="character" w:customStyle="1" w:styleId="FootnoteTextChar">
    <w:name w:val="Footnote Text Char"/>
    <w:basedOn w:val="DefaultParagraphFont"/>
    <w:link w:val="FootnoteText"/>
    <w:uiPriority w:val="99"/>
    <w:semiHidden/>
    <w:rsid w:val="005D55E5"/>
    <w:rPr>
      <w:lang w:val="en-US" w:eastAsia="en-US"/>
    </w:rPr>
  </w:style>
  <w:style w:type="character" w:styleId="FootnoteReference">
    <w:name w:val="footnote reference"/>
    <w:basedOn w:val="DefaultParagraphFont"/>
    <w:uiPriority w:val="99"/>
    <w:semiHidden/>
    <w:unhideWhenUsed/>
    <w:rsid w:val="005D55E5"/>
    <w:rPr>
      <w:vertAlign w:val="superscript"/>
    </w:rPr>
  </w:style>
  <w:style w:type="paragraph" w:styleId="NoSpacing">
    <w:name w:val="No Spacing"/>
    <w:uiPriority w:val="1"/>
    <w:qFormat/>
    <w:rsid w:val="00044A74"/>
    <w:rPr>
      <w:sz w:val="22"/>
      <w:szCs w:val="22"/>
    </w:rPr>
  </w:style>
</w:styles>
</file>

<file path=word/webSettings.xml><?xml version="1.0" encoding="utf-8"?>
<w:webSettings xmlns:r="http://schemas.openxmlformats.org/officeDocument/2006/relationships" xmlns:w="http://schemas.openxmlformats.org/wordprocessingml/2006/main">
  <w:divs>
    <w:div w:id="801769564">
      <w:bodyDiv w:val="1"/>
      <w:marLeft w:val="0"/>
      <w:marRight w:val="0"/>
      <w:marTop w:val="0"/>
      <w:marBottom w:val="0"/>
      <w:divBdr>
        <w:top w:val="none" w:sz="0" w:space="0" w:color="auto"/>
        <w:left w:val="none" w:sz="0" w:space="0" w:color="auto"/>
        <w:bottom w:val="none" w:sz="0" w:space="0" w:color="auto"/>
        <w:right w:val="none" w:sz="0" w:space="0" w:color="auto"/>
      </w:divBdr>
      <w:divsChild>
        <w:div w:id="412817187">
          <w:marLeft w:val="0"/>
          <w:marRight w:val="0"/>
          <w:marTop w:val="0"/>
          <w:marBottom w:val="0"/>
          <w:divBdr>
            <w:top w:val="none" w:sz="0" w:space="0" w:color="auto"/>
            <w:left w:val="none" w:sz="0" w:space="0" w:color="auto"/>
            <w:bottom w:val="none" w:sz="0" w:space="0" w:color="auto"/>
            <w:right w:val="none" w:sz="0" w:space="0" w:color="auto"/>
          </w:divBdr>
          <w:divsChild>
            <w:div w:id="1201025">
              <w:marLeft w:val="0"/>
              <w:marRight w:val="0"/>
              <w:marTop w:val="0"/>
              <w:marBottom w:val="0"/>
              <w:divBdr>
                <w:top w:val="none" w:sz="0" w:space="0" w:color="auto"/>
                <w:left w:val="none" w:sz="0" w:space="0" w:color="auto"/>
                <w:bottom w:val="none" w:sz="0" w:space="0" w:color="auto"/>
                <w:right w:val="none" w:sz="0" w:space="0" w:color="auto"/>
              </w:divBdr>
              <w:divsChild>
                <w:div w:id="1380324150">
                  <w:marLeft w:val="0"/>
                  <w:marRight w:val="0"/>
                  <w:marTop w:val="0"/>
                  <w:marBottom w:val="0"/>
                  <w:divBdr>
                    <w:top w:val="none" w:sz="0" w:space="0" w:color="auto"/>
                    <w:left w:val="none" w:sz="0" w:space="0" w:color="auto"/>
                    <w:bottom w:val="none" w:sz="0" w:space="0" w:color="auto"/>
                    <w:right w:val="none" w:sz="0" w:space="0" w:color="auto"/>
                  </w:divBdr>
                  <w:divsChild>
                    <w:div w:id="208240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114926">
      <w:bodyDiv w:val="1"/>
      <w:marLeft w:val="0"/>
      <w:marRight w:val="0"/>
      <w:marTop w:val="0"/>
      <w:marBottom w:val="0"/>
      <w:divBdr>
        <w:top w:val="none" w:sz="0" w:space="0" w:color="auto"/>
        <w:left w:val="none" w:sz="0" w:space="0" w:color="auto"/>
        <w:bottom w:val="none" w:sz="0" w:space="0" w:color="auto"/>
        <w:right w:val="none" w:sz="0" w:space="0" w:color="auto"/>
      </w:divBdr>
      <w:divsChild>
        <w:div w:id="1574125882">
          <w:marLeft w:val="0"/>
          <w:marRight w:val="0"/>
          <w:marTop w:val="0"/>
          <w:marBottom w:val="0"/>
          <w:divBdr>
            <w:top w:val="none" w:sz="0" w:space="0" w:color="auto"/>
            <w:left w:val="none" w:sz="0" w:space="0" w:color="auto"/>
            <w:bottom w:val="none" w:sz="0" w:space="0" w:color="auto"/>
            <w:right w:val="none" w:sz="0" w:space="0" w:color="auto"/>
          </w:divBdr>
          <w:divsChild>
            <w:div w:id="262034964">
              <w:marLeft w:val="0"/>
              <w:marRight w:val="0"/>
              <w:marTop w:val="0"/>
              <w:marBottom w:val="0"/>
              <w:divBdr>
                <w:top w:val="none" w:sz="0" w:space="0" w:color="auto"/>
                <w:left w:val="none" w:sz="0" w:space="0" w:color="auto"/>
                <w:bottom w:val="none" w:sz="0" w:space="0" w:color="auto"/>
                <w:right w:val="none" w:sz="0" w:space="0" w:color="auto"/>
              </w:divBdr>
              <w:divsChild>
                <w:div w:id="1208299780">
                  <w:marLeft w:val="0"/>
                  <w:marRight w:val="0"/>
                  <w:marTop w:val="0"/>
                  <w:marBottom w:val="0"/>
                  <w:divBdr>
                    <w:top w:val="none" w:sz="0" w:space="0" w:color="auto"/>
                    <w:left w:val="none" w:sz="0" w:space="0" w:color="auto"/>
                    <w:bottom w:val="none" w:sz="0" w:space="0" w:color="auto"/>
                    <w:right w:val="none" w:sz="0" w:space="0" w:color="auto"/>
                  </w:divBdr>
                  <w:divsChild>
                    <w:div w:id="210935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7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sebi.gov.in/cms/sebi_data/attachdocs/141319199752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9494D-9BF7-40BF-827F-E14CEA524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Legasis</Company>
  <LinksUpToDate>false</LinksUpToDate>
  <CharactersWithSpaces>5445</CharactersWithSpaces>
  <SharedDoc>false</SharedDoc>
  <HLinks>
    <vt:vector size="6" baseType="variant">
      <vt:variant>
        <vt:i4>7536734</vt:i4>
      </vt:variant>
      <vt:variant>
        <vt:i4>0</vt:i4>
      </vt:variant>
      <vt:variant>
        <vt:i4>0</vt:i4>
      </vt:variant>
      <vt:variant>
        <vt:i4>5</vt:i4>
      </vt:variant>
      <vt:variant>
        <vt:lpwstr>http://www.sebi.gov.in/cms/sebi_data/attachdocs/1413191997529.pdf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anushree.s</dc:creator>
  <cp:lastModifiedBy>Suhas Tuljapurkar</cp:lastModifiedBy>
  <cp:revision>3</cp:revision>
  <dcterms:created xsi:type="dcterms:W3CDTF">2014-11-10T06:28:00Z</dcterms:created>
  <dcterms:modified xsi:type="dcterms:W3CDTF">2014-11-10T06:45:00Z</dcterms:modified>
</cp:coreProperties>
</file>